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298C" w14:textId="77777777" w:rsidR="00BA32C4" w:rsidRDefault="00680A54">
      <w:pPr>
        <w:spacing w:after="0" w:line="259" w:lineRule="auto"/>
        <w:ind w:left="-5" w:hanging="10"/>
      </w:pPr>
      <w:r>
        <w:rPr>
          <w:rFonts w:ascii="Calibri" w:eastAsia="Calibri" w:hAnsi="Calibri" w:cs="Calibri"/>
          <w:color w:val="971D5B"/>
          <w:sz w:val="36"/>
          <w:u w:val="single" w:color="971D5B"/>
        </w:rPr>
        <w:t>Having Resilience Conversations with Young People</w:t>
      </w:r>
      <w:r>
        <w:rPr>
          <w:rFonts w:ascii="Calibri" w:eastAsia="Calibri" w:hAnsi="Calibri" w:cs="Calibri"/>
          <w:color w:val="971D5B"/>
          <w:sz w:val="36"/>
        </w:rPr>
        <w:t xml:space="preserve"> </w:t>
      </w:r>
    </w:p>
    <w:p w14:paraId="65E9D8DE" w14:textId="77777777" w:rsidR="00BA32C4" w:rsidRDefault="00680A54">
      <w:pPr>
        <w:spacing w:after="142" w:line="259" w:lineRule="auto"/>
        <w:ind w:left="0" w:firstLine="0"/>
      </w:pPr>
      <w:r>
        <w:rPr>
          <w:sz w:val="8"/>
        </w:rPr>
        <w:t xml:space="preserve"> </w:t>
      </w:r>
    </w:p>
    <w:p w14:paraId="5731A3E6" w14:textId="77777777" w:rsidR="00BA32C4" w:rsidRDefault="00680A54">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266993EF" w14:textId="77777777" w:rsidR="00BA32C4" w:rsidRDefault="00680A54">
      <w:pPr>
        <w:spacing w:after="0" w:line="259" w:lineRule="auto"/>
        <w:ind w:left="0" w:firstLine="0"/>
      </w:pPr>
      <w:r>
        <w:rPr>
          <w:rFonts w:ascii="Calibri" w:eastAsia="Calibri" w:hAnsi="Calibri" w:cs="Calibri"/>
          <w:sz w:val="22"/>
        </w:rPr>
        <w:t xml:space="preserve"> </w:t>
      </w:r>
    </w:p>
    <w:p w14:paraId="3B5D0873" w14:textId="77777777" w:rsidR="00BA32C4" w:rsidRDefault="00680A54">
      <w:pPr>
        <w:spacing w:after="18" w:line="217" w:lineRule="auto"/>
        <w:ind w:left="-5" w:hanging="10"/>
      </w:pPr>
      <w:r>
        <w:rPr>
          <w:b/>
        </w:rPr>
        <w:t xml:space="preserve">There are six areas in our lives where we can promote resilience. </w:t>
      </w:r>
      <w:r>
        <w:rPr>
          <w:b/>
        </w:rPr>
        <w:t xml:space="preserve">Two tools have been developed to assess a young person’s resilience, a Self-Reflection </w:t>
      </w:r>
      <w:proofErr w:type="gramStart"/>
      <w:r>
        <w:rPr>
          <w:b/>
        </w:rPr>
        <w:t>tool</w:t>
      </w:r>
      <w:proofErr w:type="gramEnd"/>
      <w:r>
        <w:rPr>
          <w:b/>
        </w:rPr>
        <w:t xml:space="preserve"> and a Resilience Conversation tool. </w:t>
      </w:r>
    </w:p>
    <w:p w14:paraId="7B19E855" w14:textId="77777777" w:rsidR="00BA32C4" w:rsidRDefault="00680A54">
      <w:pPr>
        <w:spacing w:after="0" w:line="259" w:lineRule="auto"/>
        <w:ind w:left="0" w:firstLine="0"/>
      </w:pPr>
      <w:r>
        <w:rPr>
          <w:b/>
        </w:rPr>
        <w:t xml:space="preserve"> </w:t>
      </w:r>
    </w:p>
    <w:p w14:paraId="2BF30CCD" w14:textId="77777777" w:rsidR="00BA32C4" w:rsidRDefault="00680A54">
      <w:pPr>
        <w:spacing w:after="18" w:line="217" w:lineRule="auto"/>
        <w:ind w:left="-5" w:hanging="10"/>
      </w:pPr>
      <w:r>
        <w:rPr>
          <w:b/>
        </w:rPr>
        <w:t xml:space="preserve">Both tools are available to download from </w:t>
      </w:r>
      <w:hyperlink r:id="rId5">
        <w:r>
          <w:rPr>
            <w:b/>
            <w:color w:val="0000FF"/>
            <w:u w:val="single" w:color="0000FF"/>
          </w:rPr>
          <w:t>www.kentresiliencehub.org.u</w:t>
        </w:r>
        <w:r>
          <w:rPr>
            <w:b/>
            <w:color w:val="0000FF"/>
            <w:u w:val="single" w:color="0000FF"/>
          </w:rPr>
          <w:t>k</w:t>
        </w:r>
      </w:hyperlink>
      <w:hyperlink r:id="rId6">
        <w:r>
          <w:rPr>
            <w:b/>
          </w:rPr>
          <w:t xml:space="preserve"> </w:t>
        </w:r>
      </w:hyperlink>
      <w:r>
        <w:rPr>
          <w:b/>
        </w:rPr>
        <w:t>and are available for use by all practitioners. Training is available on both the use of the tools, and the theoretical background.</w:t>
      </w:r>
      <w:r>
        <w:rPr>
          <w:rFonts w:ascii="Calibri" w:eastAsia="Calibri" w:hAnsi="Calibri" w:cs="Calibri"/>
          <w:color w:val="C0504D"/>
          <w:sz w:val="36"/>
        </w:rPr>
        <w:t xml:space="preserve"> </w:t>
      </w:r>
      <w:r>
        <w:rPr>
          <w:b/>
        </w:rPr>
        <w:t xml:space="preserve"> </w:t>
      </w:r>
    </w:p>
    <w:p w14:paraId="263EDB22" w14:textId="77777777" w:rsidR="00BA32C4" w:rsidRDefault="00680A54">
      <w:pPr>
        <w:spacing w:after="0" w:line="259" w:lineRule="auto"/>
        <w:ind w:left="0" w:firstLine="0"/>
      </w:pPr>
      <w:r>
        <w:rPr>
          <w:rFonts w:ascii="Calibri" w:eastAsia="Calibri" w:hAnsi="Calibri" w:cs="Calibri"/>
          <w:color w:val="C0504D"/>
          <w:sz w:val="36"/>
        </w:rPr>
        <w:t xml:space="preserve"> </w:t>
      </w:r>
    </w:p>
    <w:p w14:paraId="546965D7" w14:textId="77777777" w:rsidR="00BA32C4" w:rsidRDefault="00680A54">
      <w:pPr>
        <w:spacing w:after="0" w:line="259" w:lineRule="auto"/>
        <w:ind w:left="0" w:firstLine="0"/>
      </w:pPr>
      <w:r>
        <w:rPr>
          <w:rFonts w:ascii="Calibri" w:eastAsia="Calibri" w:hAnsi="Calibri" w:cs="Calibri"/>
          <w:color w:val="C0504D"/>
          <w:sz w:val="36"/>
        </w:rPr>
        <w:t xml:space="preserve"> </w:t>
      </w:r>
    </w:p>
    <w:p w14:paraId="6A74D5AD" w14:textId="77777777" w:rsidR="00BA32C4" w:rsidRDefault="00680A54">
      <w:pPr>
        <w:pStyle w:val="Heading1"/>
      </w:pPr>
      <w:r>
        <w:t>Resilience Conversation Tool</w:t>
      </w:r>
      <w:r>
        <w:rPr>
          <w:rFonts w:ascii="Arial" w:eastAsia="Arial" w:hAnsi="Arial" w:cs="Arial"/>
          <w:sz w:val="32"/>
          <w:vertAlign w:val="subscript"/>
        </w:rPr>
        <w:t xml:space="preserve"> </w:t>
      </w:r>
      <w:r>
        <w:rPr>
          <w:rFonts w:ascii="Arial" w:eastAsia="Arial" w:hAnsi="Arial" w:cs="Arial"/>
          <w:color w:val="000000"/>
          <w:sz w:val="32"/>
          <w:vertAlign w:val="subscript"/>
        </w:rPr>
        <w:t xml:space="preserve"> </w:t>
      </w:r>
    </w:p>
    <w:p w14:paraId="1F362F42" w14:textId="77777777" w:rsidR="00BA32C4" w:rsidRDefault="00680A54">
      <w:pPr>
        <w:spacing w:after="0" w:line="259" w:lineRule="auto"/>
        <w:ind w:left="0" w:firstLine="0"/>
      </w:pPr>
      <w:r>
        <w:t xml:space="preserve"> </w:t>
      </w:r>
    </w:p>
    <w:p w14:paraId="7CBFAF8B" w14:textId="77777777" w:rsidR="00BA32C4" w:rsidRDefault="00680A54">
      <w:pPr>
        <w:ind w:left="-15" w:firstLine="0"/>
      </w:pPr>
      <w:r>
        <w:t>The Resilience Conversation</w:t>
      </w:r>
      <w:r>
        <w:t xml:space="preserve"> Tool has been designed for use to enable a more in-depth conversation. Using the wheel diagram, young people will consider the areas of resilience, with consideration for themselves, their family, significant </w:t>
      </w:r>
      <w:proofErr w:type="gramStart"/>
      <w:r>
        <w:t>others</w:t>
      </w:r>
      <w:proofErr w:type="gramEnd"/>
      <w:r>
        <w:t xml:space="preserve"> and the wider community. </w:t>
      </w:r>
    </w:p>
    <w:p w14:paraId="60BE6D04" w14:textId="77777777" w:rsidR="00BA32C4" w:rsidRDefault="00680A54">
      <w:pPr>
        <w:spacing w:after="0" w:line="259" w:lineRule="auto"/>
        <w:ind w:left="0" w:firstLine="0"/>
      </w:pPr>
      <w:r>
        <w:t xml:space="preserve"> </w:t>
      </w:r>
    </w:p>
    <w:p w14:paraId="046926AC" w14:textId="77777777" w:rsidR="00BA32C4" w:rsidRDefault="00680A54">
      <w:pPr>
        <w:ind w:left="-15" w:firstLine="0"/>
      </w:pPr>
      <w:r>
        <w:t>Although it</w:t>
      </w:r>
      <w:r>
        <w:t xml:space="preserve"> is welcomed that within the wheel these areas are RAG (red, amber, green) rated, young people have said that for this tool to be something they can reflect on, it is encouraged that notes from the conversation are added to the wheel.  </w:t>
      </w:r>
    </w:p>
    <w:p w14:paraId="50FD3D65" w14:textId="77777777" w:rsidR="00BA32C4" w:rsidRDefault="00680A54">
      <w:pPr>
        <w:spacing w:after="0" w:line="259" w:lineRule="auto"/>
        <w:ind w:left="0" w:firstLine="0"/>
      </w:pPr>
      <w:r>
        <w:t xml:space="preserve"> </w:t>
      </w:r>
    </w:p>
    <w:p w14:paraId="1E292C47" w14:textId="77777777" w:rsidR="00BA32C4" w:rsidRDefault="00680A54">
      <w:pPr>
        <w:ind w:left="-15" w:firstLine="0"/>
      </w:pPr>
      <w:r>
        <w:t xml:space="preserve">This tool can be </w:t>
      </w:r>
      <w:r>
        <w:t xml:space="preserve">used as part of the initial meeting with a young person, as it will aid you in getting to know the young person. As it provides focus, the young person may feel more open to discussion, and can pull out the areas that they feel confident about.  </w:t>
      </w:r>
    </w:p>
    <w:p w14:paraId="2C945871" w14:textId="77777777" w:rsidR="00BA32C4" w:rsidRDefault="00680A54">
      <w:pPr>
        <w:spacing w:after="168" w:line="259" w:lineRule="auto"/>
        <w:ind w:left="0" w:firstLine="0"/>
      </w:pPr>
      <w:r>
        <w:rPr>
          <w:sz w:val="6"/>
        </w:rPr>
        <w:t xml:space="preserve"> </w:t>
      </w:r>
    </w:p>
    <w:p w14:paraId="5211A6D0" w14:textId="77777777" w:rsidR="00BA32C4" w:rsidRDefault="00680A54">
      <w:pPr>
        <w:ind w:left="-15" w:firstLine="0"/>
      </w:pPr>
      <w:r>
        <w:t>Here ar</w:t>
      </w:r>
      <w:r>
        <w:t xml:space="preserve">e some tips on getting started when having a Resilience Conversation with a young person: </w:t>
      </w:r>
    </w:p>
    <w:p w14:paraId="0A396982" w14:textId="77777777" w:rsidR="00BA32C4" w:rsidRDefault="00680A54">
      <w:pPr>
        <w:spacing w:after="0" w:line="259" w:lineRule="auto"/>
        <w:ind w:left="0" w:firstLine="0"/>
      </w:pPr>
      <w:r>
        <w:t xml:space="preserve"> </w:t>
      </w:r>
    </w:p>
    <w:p w14:paraId="579161F0" w14:textId="77777777" w:rsidR="00BA32C4" w:rsidRDefault="00680A54">
      <w:pPr>
        <w:pStyle w:val="Heading2"/>
        <w:ind w:left="-5"/>
      </w:pPr>
      <w:r>
        <w:t>Step 1</w:t>
      </w:r>
      <w:r>
        <w:rPr>
          <w:u w:val="none"/>
        </w:rPr>
        <w:t xml:space="preserve"> </w:t>
      </w:r>
    </w:p>
    <w:p w14:paraId="7F67197D" w14:textId="77777777" w:rsidR="00BA32C4" w:rsidRDefault="00680A54">
      <w:pPr>
        <w:ind w:left="355"/>
      </w:pPr>
      <w:r>
        <w:rPr>
          <w:rFonts w:ascii="Segoe UI Symbol" w:eastAsia="Segoe UI Symbol" w:hAnsi="Segoe UI Symbol" w:cs="Segoe UI Symbol"/>
        </w:rPr>
        <w:t>•</w:t>
      </w:r>
      <w:r>
        <w:t xml:space="preserve"> </w:t>
      </w:r>
      <w:r>
        <w:tab/>
      </w:r>
      <w:r>
        <w:t>The Resilience Conversation is a tool to help you have confident and strength focussed conversations with young people. If you have the option of choosing when to have a conversation with a young person, think of who is best to have this conversation and t</w:t>
      </w:r>
      <w:r>
        <w:t xml:space="preserve">hink of your environment – use a table, for example, and think of your body language to create a calm atmosphere. </w:t>
      </w:r>
    </w:p>
    <w:p w14:paraId="3149C06E" w14:textId="77777777" w:rsidR="00BA32C4" w:rsidRDefault="00680A54">
      <w:pPr>
        <w:spacing w:after="0" w:line="259" w:lineRule="auto"/>
        <w:ind w:left="0" w:firstLine="0"/>
      </w:pPr>
      <w:r>
        <w:t xml:space="preserve"> </w:t>
      </w:r>
    </w:p>
    <w:p w14:paraId="756804B7" w14:textId="77777777" w:rsidR="00BA32C4" w:rsidRDefault="00680A54">
      <w:pPr>
        <w:pStyle w:val="Heading2"/>
        <w:ind w:left="-5"/>
      </w:pPr>
      <w:r>
        <w:t>Step 2</w:t>
      </w:r>
      <w:r>
        <w:rPr>
          <w:u w:val="none"/>
        </w:rPr>
        <w:t xml:space="preserve"> </w:t>
      </w:r>
    </w:p>
    <w:p w14:paraId="3289C8A2" w14:textId="77777777" w:rsidR="00BA32C4" w:rsidRDefault="00680A54">
      <w:pPr>
        <w:numPr>
          <w:ilvl w:val="0"/>
          <w:numId w:val="1"/>
        </w:numPr>
        <w:ind w:hanging="360"/>
      </w:pPr>
      <w:r>
        <w:t xml:space="preserve">Ask the young person to read the consent box at the bottom of the page and to sign/date it if they are happy for their information </w:t>
      </w:r>
      <w:r>
        <w:t xml:space="preserve">to be shared. </w:t>
      </w:r>
    </w:p>
    <w:p w14:paraId="6AE2B4E8" w14:textId="77777777" w:rsidR="00BA32C4" w:rsidRDefault="00680A54">
      <w:pPr>
        <w:numPr>
          <w:ilvl w:val="0"/>
          <w:numId w:val="1"/>
        </w:numPr>
        <w:ind w:hanging="360"/>
      </w:pPr>
      <w:r>
        <w:t xml:space="preserve">Explain each area and the four categories on the mapping tool (self, family, significant others, wider community). </w:t>
      </w:r>
    </w:p>
    <w:p w14:paraId="1643221E" w14:textId="77777777" w:rsidR="00BA32C4" w:rsidRDefault="00680A54">
      <w:pPr>
        <w:numPr>
          <w:ilvl w:val="0"/>
          <w:numId w:val="1"/>
        </w:numPr>
        <w:ind w:hanging="360"/>
      </w:pPr>
      <w:r>
        <w:t>Explain to the young person that the areas link with one another, for example, a strong friendship (green) with a friend from</w:t>
      </w:r>
      <w:r>
        <w:t xml:space="preserve"> school may help a young person improve their talents and interests (red or amber) by getting them to go along to a school club. Here the young person will be using a strong part to boost a weaker part.  </w:t>
      </w:r>
    </w:p>
    <w:p w14:paraId="288099DD" w14:textId="77777777" w:rsidR="00BA32C4" w:rsidRDefault="00680A54">
      <w:pPr>
        <w:numPr>
          <w:ilvl w:val="0"/>
          <w:numId w:val="1"/>
        </w:numPr>
        <w:ind w:hanging="360"/>
      </w:pPr>
      <w:r>
        <w:t>If needed, model one of the parts yourself as an ex</w:t>
      </w:r>
      <w:r>
        <w:t xml:space="preserve">ample.  </w:t>
      </w:r>
    </w:p>
    <w:p w14:paraId="689B7944" w14:textId="77777777" w:rsidR="00BA32C4" w:rsidRDefault="00680A54">
      <w:pPr>
        <w:pStyle w:val="Heading2"/>
        <w:ind w:left="-5"/>
      </w:pPr>
      <w:r>
        <w:t>Step 3</w:t>
      </w:r>
      <w:r>
        <w:rPr>
          <w:u w:val="none"/>
        </w:rPr>
        <w:t xml:space="preserve"> </w:t>
      </w:r>
    </w:p>
    <w:p w14:paraId="2F881892" w14:textId="77777777" w:rsidR="00BA32C4" w:rsidRDefault="00680A54">
      <w:pPr>
        <w:spacing w:after="221"/>
        <w:ind w:left="355"/>
      </w:pPr>
      <w:r>
        <w:rPr>
          <w:rFonts w:ascii="Segoe UI Symbol" w:eastAsia="Segoe UI Symbol" w:hAnsi="Segoe UI Symbol" w:cs="Segoe UI Symbol"/>
        </w:rPr>
        <w:t>•</w:t>
      </w:r>
      <w:r>
        <w:t xml:space="preserve"> </w:t>
      </w:r>
      <w:r>
        <w:tab/>
        <w:t xml:space="preserve">Give the young person 3-4 minutes to RAG rate their areas using three coloured pens. This must be their own views and not others. If you don’t have red, amber and green pens the young person could write the letters on instead, </w:t>
      </w:r>
      <w:proofErr w:type="gramStart"/>
      <w:r>
        <w:t>e.g.</w:t>
      </w:r>
      <w:proofErr w:type="gramEnd"/>
      <w:r>
        <w:t xml:space="preserve"> R, A</w:t>
      </w:r>
      <w:r>
        <w:t xml:space="preserve"> and G. </w:t>
      </w:r>
    </w:p>
    <w:p w14:paraId="13235DFA" w14:textId="77777777" w:rsidR="00BA32C4" w:rsidRDefault="00680A54">
      <w:pPr>
        <w:pStyle w:val="Heading2"/>
        <w:ind w:left="-5"/>
      </w:pPr>
      <w:r>
        <w:t>Step 4</w:t>
      </w:r>
      <w:r>
        <w:rPr>
          <w:u w:val="none"/>
        </w:rPr>
        <w:t xml:space="preserve"> </w:t>
      </w:r>
    </w:p>
    <w:p w14:paraId="4ED8F77E" w14:textId="77777777" w:rsidR="00BA32C4" w:rsidRDefault="00680A54">
      <w:pPr>
        <w:numPr>
          <w:ilvl w:val="0"/>
          <w:numId w:val="2"/>
        </w:numPr>
        <w:ind w:hanging="360"/>
      </w:pPr>
      <w:r>
        <w:t xml:space="preserve">They now have an accessible, visual representation of their own resilience. </w:t>
      </w:r>
    </w:p>
    <w:p w14:paraId="749B7509" w14:textId="77777777" w:rsidR="00BA32C4" w:rsidRDefault="00680A54">
      <w:pPr>
        <w:numPr>
          <w:ilvl w:val="0"/>
          <w:numId w:val="2"/>
        </w:numPr>
        <w:ind w:hanging="360"/>
      </w:pPr>
      <w:r>
        <w:lastRenderedPageBreak/>
        <w:t>Focus on the greens first. Ask them what is going well in their lives? Ask them why they put green or those area.</w:t>
      </w:r>
    </w:p>
    <w:p w14:paraId="0AE5D96D" w14:textId="77777777" w:rsidR="00BA32C4" w:rsidRDefault="00680A54">
      <w:pPr>
        <w:spacing w:after="72" w:line="259" w:lineRule="auto"/>
        <w:ind w:left="-5" w:hanging="10"/>
      </w:pPr>
      <w:r>
        <w:rPr>
          <w:rFonts w:ascii="Calibri" w:eastAsia="Calibri" w:hAnsi="Calibri" w:cs="Calibri"/>
          <w:color w:val="971D5B"/>
          <w:sz w:val="36"/>
          <w:u w:val="single" w:color="971D5B"/>
        </w:rPr>
        <w:t>Having Resilience Conversations with Young Peopl</w:t>
      </w:r>
      <w:r>
        <w:rPr>
          <w:rFonts w:ascii="Calibri" w:eastAsia="Calibri" w:hAnsi="Calibri" w:cs="Calibri"/>
          <w:color w:val="971D5B"/>
          <w:sz w:val="36"/>
          <w:u w:val="single" w:color="971D5B"/>
        </w:rPr>
        <w:t>e</w:t>
      </w:r>
      <w:r>
        <w:rPr>
          <w:rFonts w:ascii="Calibri" w:eastAsia="Calibri" w:hAnsi="Calibri" w:cs="Calibri"/>
          <w:color w:val="971D5B"/>
          <w:sz w:val="36"/>
        </w:rPr>
        <w:t xml:space="preserve"> </w:t>
      </w:r>
      <w:r>
        <w:rPr>
          <w:rFonts w:ascii="Calibri" w:eastAsia="Calibri" w:hAnsi="Calibri" w:cs="Calibri"/>
          <w:color w:val="971D5B"/>
          <w:sz w:val="36"/>
          <w:u w:val="single" w:color="971D5B"/>
        </w:rPr>
        <w:t>cont.</w:t>
      </w:r>
      <w:r>
        <w:rPr>
          <w:rFonts w:ascii="Calibri" w:eastAsia="Calibri" w:hAnsi="Calibri" w:cs="Calibri"/>
          <w:color w:val="971D5B"/>
          <w:sz w:val="36"/>
        </w:rPr>
        <w:t xml:space="preserve"> </w:t>
      </w:r>
    </w:p>
    <w:p w14:paraId="2ED2E784" w14:textId="77777777" w:rsidR="00BA32C4" w:rsidRDefault="00680A54">
      <w:pPr>
        <w:spacing w:after="144" w:line="259" w:lineRule="auto"/>
        <w:ind w:left="0" w:firstLine="0"/>
      </w:pPr>
      <w:r>
        <w:rPr>
          <w:sz w:val="8"/>
        </w:rPr>
        <w:t xml:space="preserve"> </w:t>
      </w:r>
    </w:p>
    <w:p w14:paraId="6C088047" w14:textId="77777777" w:rsidR="00BA32C4" w:rsidRDefault="00680A54">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1D2E0F05" w14:textId="77777777" w:rsidR="00BA32C4" w:rsidRDefault="00680A54">
      <w:pPr>
        <w:spacing w:after="0" w:line="259" w:lineRule="auto"/>
        <w:ind w:left="0" w:firstLine="0"/>
      </w:pPr>
      <w:r>
        <w:rPr>
          <w:rFonts w:ascii="Calibri" w:eastAsia="Calibri" w:hAnsi="Calibri" w:cs="Calibri"/>
          <w:sz w:val="22"/>
        </w:rPr>
        <w:t xml:space="preserve"> </w:t>
      </w:r>
    </w:p>
    <w:p w14:paraId="0B02E399" w14:textId="77777777" w:rsidR="00BA32C4" w:rsidRDefault="00680A54">
      <w:pPr>
        <w:spacing w:after="7" w:line="259" w:lineRule="auto"/>
        <w:ind w:left="0" w:firstLine="0"/>
      </w:pPr>
      <w:r>
        <w:t xml:space="preserve"> </w:t>
      </w:r>
    </w:p>
    <w:p w14:paraId="08E22194" w14:textId="77777777" w:rsidR="00BA32C4" w:rsidRDefault="00680A54">
      <w:pPr>
        <w:numPr>
          <w:ilvl w:val="0"/>
          <w:numId w:val="2"/>
        </w:numPr>
        <w:spacing w:after="4" w:line="250" w:lineRule="auto"/>
        <w:ind w:hanging="360"/>
      </w:pPr>
      <w:r>
        <w:rPr>
          <w:sz w:val="22"/>
        </w:rPr>
        <w:t>Allow the conversation to flow. The young person should lead the conversation, but you may need to prompt with further questions. Don’t overthink the conversation – you are likely to be having these sorts of conversations on a regular basis but maybe not c</w:t>
      </w:r>
      <w:r>
        <w:rPr>
          <w:sz w:val="22"/>
        </w:rPr>
        <w:t xml:space="preserve">overing all the parts and in this detail. </w:t>
      </w:r>
    </w:p>
    <w:p w14:paraId="662ED8B2" w14:textId="77777777" w:rsidR="00BA32C4" w:rsidRDefault="00680A54">
      <w:pPr>
        <w:numPr>
          <w:ilvl w:val="0"/>
          <w:numId w:val="2"/>
        </w:numPr>
        <w:spacing w:after="4" w:line="250" w:lineRule="auto"/>
        <w:ind w:hanging="360"/>
      </w:pPr>
      <w:r>
        <w:rPr>
          <w:sz w:val="22"/>
        </w:rPr>
        <w:t xml:space="preserve">Gradually move on to amber and reds – ask the young person why they chose that colour. This may happen organically, or you may need to ask further questions. </w:t>
      </w:r>
    </w:p>
    <w:p w14:paraId="2E3C0BC4" w14:textId="77777777" w:rsidR="00BA32C4" w:rsidRDefault="00680A54">
      <w:pPr>
        <w:pStyle w:val="Heading2"/>
        <w:ind w:left="-5"/>
      </w:pPr>
      <w:r>
        <w:rPr>
          <w:sz w:val="22"/>
        </w:rPr>
        <w:t>Step 5</w:t>
      </w:r>
      <w:r>
        <w:rPr>
          <w:sz w:val="22"/>
          <w:u w:val="none"/>
        </w:rPr>
        <w:t xml:space="preserve"> </w:t>
      </w:r>
    </w:p>
    <w:p w14:paraId="509C35A5" w14:textId="77777777" w:rsidR="00BA32C4" w:rsidRDefault="00680A54">
      <w:pPr>
        <w:numPr>
          <w:ilvl w:val="0"/>
          <w:numId w:val="3"/>
        </w:numPr>
        <w:spacing w:after="4" w:line="250" w:lineRule="auto"/>
        <w:ind w:hanging="360"/>
      </w:pPr>
      <w:r>
        <w:rPr>
          <w:sz w:val="22"/>
        </w:rPr>
        <w:t>Ask what would make a ‘red’ better? – This wil</w:t>
      </w:r>
      <w:r>
        <w:rPr>
          <w:sz w:val="22"/>
        </w:rPr>
        <w:t xml:space="preserve">l become an action to be written in the table on the conversation sheet. There may be just one action for one </w:t>
      </w:r>
      <w:proofErr w:type="gramStart"/>
      <w:r>
        <w:rPr>
          <w:sz w:val="22"/>
        </w:rPr>
        <w:t>part</w:t>
      </w:r>
      <w:proofErr w:type="gramEnd"/>
      <w:r>
        <w:rPr>
          <w:sz w:val="22"/>
        </w:rPr>
        <w:t xml:space="preserve"> or the young person may want more actions to be written down, this is personal to them. It is not necessary to have an action for each part. </w:t>
      </w:r>
      <w:r>
        <w:rPr>
          <w:sz w:val="22"/>
        </w:rPr>
        <w:t xml:space="preserve"> </w:t>
      </w:r>
    </w:p>
    <w:p w14:paraId="13C2D3CF" w14:textId="77777777" w:rsidR="00BA32C4" w:rsidRDefault="00680A54">
      <w:pPr>
        <w:numPr>
          <w:ilvl w:val="0"/>
          <w:numId w:val="3"/>
        </w:numPr>
        <w:spacing w:after="4" w:line="250" w:lineRule="auto"/>
        <w:ind w:hanging="360"/>
      </w:pPr>
      <w:r>
        <w:rPr>
          <w:sz w:val="22"/>
        </w:rPr>
        <w:t xml:space="preserve">If appropriate, you may suggest the young person visits the school or community safe space/s, see a peer mentor, try online counselling, or access other services. </w:t>
      </w:r>
    </w:p>
    <w:p w14:paraId="34447003" w14:textId="77777777" w:rsidR="00BA32C4" w:rsidRDefault="00680A54">
      <w:pPr>
        <w:pStyle w:val="Heading2"/>
        <w:ind w:left="-5"/>
      </w:pPr>
      <w:r>
        <w:rPr>
          <w:sz w:val="22"/>
        </w:rPr>
        <w:t>Step 6</w:t>
      </w:r>
      <w:r>
        <w:rPr>
          <w:b w:val="0"/>
          <w:sz w:val="22"/>
          <w:u w:val="none"/>
        </w:rPr>
        <w:t xml:space="preserve">  </w:t>
      </w:r>
    </w:p>
    <w:p w14:paraId="4089E554" w14:textId="77777777" w:rsidR="00BA32C4" w:rsidRDefault="00680A54">
      <w:pPr>
        <w:numPr>
          <w:ilvl w:val="0"/>
          <w:numId w:val="4"/>
        </w:numPr>
        <w:spacing w:after="4" w:line="250" w:lineRule="auto"/>
        <w:ind w:hanging="360"/>
      </w:pPr>
      <w:r>
        <w:rPr>
          <w:sz w:val="22"/>
        </w:rPr>
        <w:t xml:space="preserve">If a young person will benefit from safe spaces and/or per mentoring inform them </w:t>
      </w:r>
      <w:r>
        <w:rPr>
          <w:sz w:val="22"/>
        </w:rPr>
        <w:t xml:space="preserve">of what is available within the school setting. Many youth hubs also offer safe spaces. </w:t>
      </w:r>
    </w:p>
    <w:p w14:paraId="052F90E0" w14:textId="77777777" w:rsidR="00BA32C4" w:rsidRDefault="00680A54">
      <w:pPr>
        <w:numPr>
          <w:ilvl w:val="0"/>
          <w:numId w:val="4"/>
        </w:numPr>
        <w:spacing w:after="4" w:line="250" w:lineRule="auto"/>
        <w:ind w:hanging="360"/>
      </w:pPr>
      <w:r>
        <w:rPr>
          <w:sz w:val="22"/>
        </w:rPr>
        <w:t xml:space="preserve">Online support and counselling can be accessed at </w:t>
      </w:r>
      <w:hyperlink r:id="rId7">
        <w:r>
          <w:rPr>
            <w:color w:val="0000FF"/>
            <w:sz w:val="22"/>
            <w:u w:val="single" w:color="0000FF"/>
          </w:rPr>
          <w:t>https://kooth.com/</w:t>
        </w:r>
      </w:hyperlink>
      <w:hyperlink r:id="rId8">
        <w:r>
          <w:rPr>
            <w:sz w:val="22"/>
          </w:rPr>
          <w:t xml:space="preserve"> </w:t>
        </w:r>
      </w:hyperlink>
      <w:r>
        <w:rPr>
          <w:sz w:val="22"/>
        </w:rPr>
        <w:t xml:space="preserve">  </w:t>
      </w:r>
    </w:p>
    <w:p w14:paraId="0CD58E30" w14:textId="77777777" w:rsidR="00BA32C4" w:rsidRDefault="00680A54">
      <w:pPr>
        <w:numPr>
          <w:ilvl w:val="0"/>
          <w:numId w:val="4"/>
        </w:numPr>
        <w:spacing w:after="10" w:line="245" w:lineRule="auto"/>
        <w:ind w:hanging="360"/>
      </w:pPr>
      <w:r>
        <w:rPr>
          <w:sz w:val="22"/>
        </w:rPr>
        <w:t xml:space="preserve">Talents &amp; Interests grants can be applied for at </w:t>
      </w:r>
      <w:hyperlink r:id="rId9">
        <w:r>
          <w:rPr>
            <w:color w:val="0000FF"/>
            <w:sz w:val="22"/>
            <w:u w:val="single" w:color="0000FF"/>
          </w:rPr>
          <w:t>http://www.kent.gov.uk/leisure</w:t>
        </w:r>
      </w:hyperlink>
      <w:hyperlink r:id="rId10">
        <w:r>
          <w:rPr>
            <w:color w:val="0000FF"/>
            <w:sz w:val="22"/>
            <w:u w:val="single" w:color="0000FF"/>
          </w:rPr>
          <w:t>-</w:t>
        </w:r>
      </w:hyperlink>
      <w:hyperlink r:id="rId11">
        <w:r>
          <w:rPr>
            <w:color w:val="0000FF"/>
            <w:sz w:val="22"/>
            <w:u w:val="single" w:color="0000FF"/>
          </w:rPr>
          <w:t>and</w:t>
        </w:r>
      </w:hyperlink>
      <w:hyperlink r:id="rId12"/>
      <w:hyperlink r:id="rId13">
        <w:r>
          <w:rPr>
            <w:color w:val="0000FF"/>
            <w:sz w:val="22"/>
            <w:u w:val="single" w:color="0000FF"/>
          </w:rPr>
          <w:t>commu</w:t>
        </w:r>
        <w:r>
          <w:rPr>
            <w:color w:val="0000FF"/>
            <w:sz w:val="22"/>
            <w:u w:val="single" w:color="0000FF"/>
          </w:rPr>
          <w:t>nity/community</w:t>
        </w:r>
      </w:hyperlink>
      <w:hyperlink r:id="rId14">
        <w:r>
          <w:rPr>
            <w:color w:val="0000FF"/>
            <w:sz w:val="22"/>
            <w:u w:val="single" w:color="0000FF"/>
          </w:rPr>
          <w:t>-</w:t>
        </w:r>
      </w:hyperlink>
      <w:hyperlink r:id="rId15">
        <w:r>
          <w:rPr>
            <w:color w:val="0000FF"/>
            <w:sz w:val="22"/>
            <w:u w:val="single" w:color="0000FF"/>
          </w:rPr>
          <w:t>grants</w:t>
        </w:r>
      </w:hyperlink>
      <w:hyperlink r:id="rId16">
        <w:r>
          <w:rPr>
            <w:color w:val="0000FF"/>
            <w:sz w:val="22"/>
            <w:u w:val="single" w:color="0000FF"/>
          </w:rPr>
          <w:t>-</w:t>
        </w:r>
      </w:hyperlink>
      <w:hyperlink r:id="rId17">
        <w:r>
          <w:rPr>
            <w:color w:val="0000FF"/>
            <w:sz w:val="22"/>
            <w:u w:val="single" w:color="0000FF"/>
          </w:rPr>
          <w:t>and</w:t>
        </w:r>
      </w:hyperlink>
      <w:hyperlink r:id="rId18">
        <w:r>
          <w:rPr>
            <w:color w:val="0000FF"/>
            <w:sz w:val="22"/>
            <w:u w:val="single" w:color="0000FF"/>
          </w:rPr>
          <w:t>-</w:t>
        </w:r>
      </w:hyperlink>
      <w:hyperlink r:id="rId19">
        <w:r>
          <w:rPr>
            <w:color w:val="0000FF"/>
            <w:sz w:val="22"/>
            <w:u w:val="single" w:color="0000FF"/>
          </w:rPr>
          <w:t>funding/talents</w:t>
        </w:r>
      </w:hyperlink>
      <w:hyperlink r:id="rId20">
        <w:r>
          <w:rPr>
            <w:color w:val="0000FF"/>
            <w:sz w:val="22"/>
            <w:u w:val="single" w:color="0000FF"/>
          </w:rPr>
          <w:t>-</w:t>
        </w:r>
      </w:hyperlink>
      <w:hyperlink r:id="rId21">
        <w:r>
          <w:rPr>
            <w:color w:val="0000FF"/>
            <w:sz w:val="22"/>
            <w:u w:val="single" w:color="0000FF"/>
          </w:rPr>
          <w:t>and</w:t>
        </w:r>
      </w:hyperlink>
      <w:hyperlink r:id="rId22">
        <w:r>
          <w:rPr>
            <w:color w:val="0000FF"/>
            <w:sz w:val="22"/>
            <w:u w:val="single" w:color="0000FF"/>
          </w:rPr>
          <w:t>-</w:t>
        </w:r>
      </w:hyperlink>
      <w:hyperlink r:id="rId23">
        <w:r>
          <w:rPr>
            <w:color w:val="0000FF"/>
            <w:sz w:val="22"/>
            <w:u w:val="single" w:color="0000FF"/>
          </w:rPr>
          <w:t>interests</w:t>
        </w:r>
      </w:hyperlink>
      <w:hyperlink r:id="rId24">
        <w:r>
          <w:rPr>
            <w:color w:val="0000FF"/>
            <w:sz w:val="22"/>
            <w:u w:val="single" w:color="0000FF"/>
          </w:rPr>
          <w:t>-</w:t>
        </w:r>
      </w:hyperlink>
      <w:hyperlink r:id="rId25">
        <w:r>
          <w:rPr>
            <w:color w:val="0000FF"/>
            <w:sz w:val="22"/>
            <w:u w:val="single" w:color="0000FF"/>
          </w:rPr>
          <w:t>grant</w:t>
        </w:r>
      </w:hyperlink>
      <w:hyperlink r:id="rId26">
        <w:r>
          <w:rPr>
            <w:color w:val="0000FF"/>
            <w:sz w:val="22"/>
            <w:u w:val="single" w:color="0000FF"/>
          </w:rPr>
          <w:t>-</w:t>
        </w:r>
      </w:hyperlink>
      <w:hyperlink r:id="rId27">
        <w:r>
          <w:rPr>
            <w:color w:val="0000FF"/>
            <w:sz w:val="22"/>
            <w:u w:val="single" w:color="0000FF"/>
          </w:rPr>
          <w:t>scheme</w:t>
        </w:r>
      </w:hyperlink>
      <w:hyperlink r:id="rId28">
        <w:r>
          <w:rPr>
            <w:sz w:val="22"/>
          </w:rPr>
          <w:t xml:space="preserve"> </w:t>
        </w:r>
      </w:hyperlink>
      <w:r>
        <w:rPr>
          <w:sz w:val="22"/>
        </w:rPr>
        <w:t xml:space="preserve"> </w:t>
      </w:r>
    </w:p>
    <w:p w14:paraId="77BC6C60" w14:textId="77777777" w:rsidR="00BA32C4" w:rsidRDefault="00680A54">
      <w:pPr>
        <w:numPr>
          <w:ilvl w:val="0"/>
          <w:numId w:val="4"/>
        </w:numPr>
        <w:spacing w:after="4" w:line="250" w:lineRule="auto"/>
        <w:ind w:hanging="360"/>
      </w:pPr>
      <w:r>
        <w:rPr>
          <w:sz w:val="22"/>
        </w:rPr>
        <w:t>If there are other services you feel would benefit the yo</w:t>
      </w:r>
      <w:r>
        <w:rPr>
          <w:sz w:val="22"/>
        </w:rPr>
        <w:t xml:space="preserve">ung person, please refer using your local sources of information. </w:t>
      </w:r>
    </w:p>
    <w:p w14:paraId="12968DC6" w14:textId="77777777" w:rsidR="00BA32C4" w:rsidRDefault="00680A54">
      <w:pPr>
        <w:pStyle w:val="Heading2"/>
        <w:tabs>
          <w:tab w:val="center" w:pos="691"/>
        </w:tabs>
        <w:ind w:left="-15" w:firstLine="0"/>
      </w:pPr>
      <w:r>
        <w:rPr>
          <w:rFonts w:ascii="Segoe UI Symbol" w:eastAsia="Segoe UI Symbol" w:hAnsi="Segoe UI Symbol" w:cs="Segoe UI Symbol"/>
          <w:b w:val="0"/>
          <w:sz w:val="22"/>
          <w:u w:val="none"/>
        </w:rPr>
        <w:t>•</w:t>
      </w:r>
      <w:r>
        <w:rPr>
          <w:b w:val="0"/>
          <w:sz w:val="22"/>
          <w:u w:val="none"/>
        </w:rPr>
        <w:t xml:space="preserve"> </w:t>
      </w:r>
      <w:r>
        <w:rPr>
          <w:b w:val="0"/>
          <w:sz w:val="22"/>
          <w:u w:val="none"/>
        </w:rPr>
        <w:tab/>
      </w:r>
      <w:r>
        <w:rPr>
          <w:sz w:val="22"/>
        </w:rPr>
        <w:t>Step 7</w:t>
      </w:r>
      <w:r>
        <w:rPr>
          <w:sz w:val="22"/>
          <w:u w:val="none"/>
        </w:rPr>
        <w:t xml:space="preserve"> </w:t>
      </w:r>
    </w:p>
    <w:p w14:paraId="34C991D0" w14:textId="77777777" w:rsidR="00BA32C4" w:rsidRDefault="00680A54">
      <w:pPr>
        <w:numPr>
          <w:ilvl w:val="0"/>
          <w:numId w:val="5"/>
        </w:numPr>
        <w:spacing w:after="0" w:line="232" w:lineRule="auto"/>
        <w:ind w:hanging="360"/>
      </w:pPr>
      <w:r>
        <w:rPr>
          <w:sz w:val="22"/>
        </w:rPr>
        <w:t xml:space="preserve">Please indicate on the form what options or services you have offered the young person and if they are interested.  Go back to a green to finish on a positive. </w:t>
      </w:r>
      <w:r>
        <w:rPr>
          <w:rFonts w:ascii="Segoe UI Symbol" w:eastAsia="Segoe UI Symbol" w:hAnsi="Segoe UI Symbol" w:cs="Segoe UI Symbol"/>
          <w:sz w:val="22"/>
        </w:rPr>
        <w:t>•</w:t>
      </w:r>
      <w:r>
        <w:rPr>
          <w:sz w:val="22"/>
        </w:rPr>
        <w:t xml:space="preserve"> </w:t>
      </w:r>
      <w:r>
        <w:rPr>
          <w:b/>
          <w:sz w:val="22"/>
          <w:u w:val="single" w:color="000000"/>
        </w:rPr>
        <w:t>Step 8</w:t>
      </w:r>
      <w:r>
        <w:rPr>
          <w:b/>
          <w:sz w:val="22"/>
        </w:rPr>
        <w:t xml:space="preserve"> </w:t>
      </w:r>
    </w:p>
    <w:p w14:paraId="33EBAAD6" w14:textId="77777777" w:rsidR="00BA32C4" w:rsidRDefault="00680A54">
      <w:pPr>
        <w:numPr>
          <w:ilvl w:val="0"/>
          <w:numId w:val="5"/>
        </w:numPr>
        <w:ind w:hanging="360"/>
      </w:pPr>
      <w:r>
        <w:t xml:space="preserve">You or a colleague should then meet again with this young person after an agreed time </w:t>
      </w:r>
      <w:r>
        <w:t xml:space="preserve">to review their actions (see reverse of sheet) and RAG rate their areas again. </w:t>
      </w:r>
      <w:r>
        <w:rPr>
          <w:sz w:val="22"/>
        </w:rPr>
        <w:t xml:space="preserve"> </w:t>
      </w:r>
    </w:p>
    <w:p w14:paraId="73059826" w14:textId="77777777" w:rsidR="00BA32C4" w:rsidRDefault="00680A54">
      <w:pPr>
        <w:numPr>
          <w:ilvl w:val="0"/>
          <w:numId w:val="5"/>
        </w:numPr>
        <w:spacing w:after="4" w:line="250" w:lineRule="auto"/>
        <w:ind w:hanging="360"/>
      </w:pPr>
      <w:r>
        <w:rPr>
          <w:sz w:val="22"/>
        </w:rPr>
        <w:t xml:space="preserve">Any difficulties please contact </w:t>
      </w:r>
      <w:r>
        <w:rPr>
          <w:color w:val="0000FF"/>
          <w:sz w:val="22"/>
          <w:u w:val="single" w:color="0000FF"/>
        </w:rPr>
        <w:t>headstart@kent.gov.uk</w:t>
      </w:r>
      <w:r>
        <w:rPr>
          <w:sz w:val="22"/>
        </w:rPr>
        <w:t xml:space="preserve">  </w:t>
      </w:r>
    </w:p>
    <w:p w14:paraId="38AAE3CA" w14:textId="77777777" w:rsidR="00BA32C4" w:rsidRDefault="00680A54">
      <w:pPr>
        <w:spacing w:after="0" w:line="259" w:lineRule="auto"/>
        <w:ind w:left="0" w:firstLine="0"/>
      </w:pPr>
      <w:r>
        <w:rPr>
          <w:rFonts w:ascii="Calibri" w:eastAsia="Calibri" w:hAnsi="Calibri" w:cs="Calibri"/>
          <w:sz w:val="22"/>
        </w:rPr>
        <w:t xml:space="preserve"> </w:t>
      </w:r>
    </w:p>
    <w:sectPr w:rsidR="00BA32C4">
      <w:pgSz w:w="11906" w:h="16838"/>
      <w:pgMar w:top="761" w:right="1437" w:bottom="16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A80"/>
    <w:multiLevelType w:val="hybridMultilevel"/>
    <w:tmpl w:val="DB62EAAC"/>
    <w:lvl w:ilvl="0" w:tplc="726C10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651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4ED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0FF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8AA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0E05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50F4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68C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92FC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C1CBB"/>
    <w:multiLevelType w:val="hybridMultilevel"/>
    <w:tmpl w:val="BAE68C40"/>
    <w:lvl w:ilvl="0" w:tplc="182C96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401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FE47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A47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86D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30A3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FEA1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053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FA4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BA04BF"/>
    <w:multiLevelType w:val="hybridMultilevel"/>
    <w:tmpl w:val="8AAED7F2"/>
    <w:lvl w:ilvl="0" w:tplc="F77A942C">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03CF08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F28BA1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836167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6BE797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7A20CE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F8061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02882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CADA9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D13206D"/>
    <w:multiLevelType w:val="hybridMultilevel"/>
    <w:tmpl w:val="3DECEEF8"/>
    <w:lvl w:ilvl="0" w:tplc="57B40CAA">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E4DAB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7701A8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C009DB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06AD6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F42777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56A32F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C0971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4AAE77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266221B"/>
    <w:multiLevelType w:val="hybridMultilevel"/>
    <w:tmpl w:val="1DB27BEC"/>
    <w:lvl w:ilvl="0" w:tplc="96140A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82AE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1EE6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A67A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0D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25E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A1F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0BC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CEEC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C4"/>
    <w:rsid w:val="00400AB0"/>
    <w:rsid w:val="00680A54"/>
    <w:rsid w:val="00BA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6D84"/>
  <w15:docId w15:val="{B1E722B3-6878-4550-B868-C0A953F4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sz w:val="21"/>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C0504D"/>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u w:val="single" w:color="000000"/>
    </w:rPr>
  </w:style>
  <w:style w:type="character" w:customStyle="1" w:styleId="Heading1Char">
    <w:name w:val="Heading 1 Char"/>
    <w:link w:val="Heading1"/>
    <w:rPr>
      <w:rFonts w:ascii="Calibri" w:eastAsia="Calibri" w:hAnsi="Calibri" w:cs="Calibri"/>
      <w:color w:val="C0504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ooth.com/" TargetMode="External"/><Relationship Id="rId13" Type="http://schemas.openxmlformats.org/officeDocument/2006/relationships/hyperlink" Target="http://www.kent.gov.uk/leisure-and-community/community-grants-and-funding/talents-and-interests-grant-scheme" TargetMode="External"/><Relationship Id="rId18" Type="http://schemas.openxmlformats.org/officeDocument/2006/relationships/hyperlink" Target="http://www.kent.gov.uk/leisure-and-community/community-grants-and-funding/talents-and-interests-grant-scheme" TargetMode="External"/><Relationship Id="rId26" Type="http://schemas.openxmlformats.org/officeDocument/2006/relationships/hyperlink" Target="http://www.kent.gov.uk/leisure-and-community/community-grants-and-funding/talents-and-interests-grant-scheme" TargetMode="External"/><Relationship Id="rId3" Type="http://schemas.openxmlformats.org/officeDocument/2006/relationships/settings" Target="settings.xml"/><Relationship Id="rId21" Type="http://schemas.openxmlformats.org/officeDocument/2006/relationships/hyperlink" Target="http://www.kent.gov.uk/leisure-and-community/community-grants-and-funding/talents-and-interests-grant-scheme" TargetMode="External"/><Relationship Id="rId7" Type="http://schemas.openxmlformats.org/officeDocument/2006/relationships/hyperlink" Target="https://kooth.com/" TargetMode="External"/><Relationship Id="rId12" Type="http://schemas.openxmlformats.org/officeDocument/2006/relationships/hyperlink" Target="http://www.kent.gov.uk/leisure-and-community/community-grants-and-funding/talents-and-interests-grant-scheme" TargetMode="External"/><Relationship Id="rId17" Type="http://schemas.openxmlformats.org/officeDocument/2006/relationships/hyperlink" Target="http://www.kent.gov.uk/leisure-and-community/community-grants-and-funding/talents-and-interests-grant-scheme" TargetMode="External"/><Relationship Id="rId25" Type="http://schemas.openxmlformats.org/officeDocument/2006/relationships/hyperlink" Target="http://www.kent.gov.uk/leisure-and-community/community-grants-and-funding/talents-and-interests-grant-scheme" TargetMode="External"/><Relationship Id="rId2" Type="http://schemas.openxmlformats.org/officeDocument/2006/relationships/styles" Target="styles.xml"/><Relationship Id="rId16" Type="http://schemas.openxmlformats.org/officeDocument/2006/relationships/hyperlink" Target="http://www.kent.gov.uk/leisure-and-community/community-grants-and-funding/talents-and-interests-grant-scheme" TargetMode="External"/><Relationship Id="rId20" Type="http://schemas.openxmlformats.org/officeDocument/2006/relationships/hyperlink" Target="http://www.kent.gov.uk/leisure-and-community/community-grants-and-funding/talents-and-interests-grant-sche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entresiliencehub.org.uk/" TargetMode="External"/><Relationship Id="rId11" Type="http://schemas.openxmlformats.org/officeDocument/2006/relationships/hyperlink" Target="http://www.kent.gov.uk/leisure-and-community/community-grants-and-funding/talents-and-interests-grant-scheme" TargetMode="External"/><Relationship Id="rId24" Type="http://schemas.openxmlformats.org/officeDocument/2006/relationships/hyperlink" Target="http://www.kent.gov.uk/leisure-and-community/community-grants-and-funding/talents-and-interests-grant-scheme" TargetMode="External"/><Relationship Id="rId5" Type="http://schemas.openxmlformats.org/officeDocument/2006/relationships/hyperlink" Target="http://www.kentresiliencehub.org.uk/" TargetMode="External"/><Relationship Id="rId15" Type="http://schemas.openxmlformats.org/officeDocument/2006/relationships/hyperlink" Target="http://www.kent.gov.uk/leisure-and-community/community-grants-and-funding/talents-and-interests-grant-scheme" TargetMode="External"/><Relationship Id="rId23" Type="http://schemas.openxmlformats.org/officeDocument/2006/relationships/hyperlink" Target="http://www.kent.gov.uk/leisure-and-community/community-grants-and-funding/talents-and-interests-grant-scheme" TargetMode="External"/><Relationship Id="rId28" Type="http://schemas.openxmlformats.org/officeDocument/2006/relationships/hyperlink" Target="http://www.kent.gov.uk/leisure-and-community/community-grants-and-funding/talents-and-interests-grant-scheme" TargetMode="External"/><Relationship Id="rId10" Type="http://schemas.openxmlformats.org/officeDocument/2006/relationships/hyperlink" Target="http://www.kent.gov.uk/leisure-and-community/community-grants-and-funding/talents-and-interests-grant-scheme" TargetMode="External"/><Relationship Id="rId19" Type="http://schemas.openxmlformats.org/officeDocument/2006/relationships/hyperlink" Target="http://www.kent.gov.uk/leisure-and-community/community-grants-and-funding/talents-and-interests-grant-scheme" TargetMode="External"/><Relationship Id="rId4" Type="http://schemas.openxmlformats.org/officeDocument/2006/relationships/webSettings" Target="webSettings.xml"/><Relationship Id="rId9" Type="http://schemas.openxmlformats.org/officeDocument/2006/relationships/hyperlink" Target="http://www.kent.gov.uk/leisure-and-community/community-grants-and-funding/talents-and-interests-grant-scheme" TargetMode="External"/><Relationship Id="rId14" Type="http://schemas.openxmlformats.org/officeDocument/2006/relationships/hyperlink" Target="http://www.kent.gov.uk/leisure-and-community/community-grants-and-funding/talents-and-interests-grant-scheme" TargetMode="External"/><Relationship Id="rId22" Type="http://schemas.openxmlformats.org/officeDocument/2006/relationships/hyperlink" Target="http://www.kent.gov.uk/leisure-and-community/community-grants-and-funding/talents-and-interests-grant-scheme" TargetMode="External"/><Relationship Id="rId27" Type="http://schemas.openxmlformats.org/officeDocument/2006/relationships/hyperlink" Target="http://www.kent.gov.uk/leisure-and-community/community-grants-and-funding/talents-and-interests-grant-sche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Ransley-Hoare, Elena - CY EHPS</dc:creator>
  <cp:keywords/>
  <cp:lastModifiedBy>Sophie Wilson - CY EHPS</cp:lastModifiedBy>
  <cp:revision>2</cp:revision>
  <dcterms:created xsi:type="dcterms:W3CDTF">2022-03-14T13:35:00Z</dcterms:created>
  <dcterms:modified xsi:type="dcterms:W3CDTF">2022-03-14T13:35:00Z</dcterms:modified>
</cp:coreProperties>
</file>